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30164077" w:rsidR="00650E95" w:rsidRDefault="00373687" w:rsidP="00781C15">
      <w:pPr>
        <w:pStyle w:val="Title"/>
      </w:pPr>
      <w:r>
        <w:t>PHED 250 – Health &amp; Physical Education Concepts for Elementary Teachers</w:t>
      </w:r>
      <w:r w:rsidR="00781C15">
        <w:t xml:space="preserve"> - </w:t>
      </w:r>
      <w:r w:rsidR="00885949">
        <w:t>Spring</w:t>
      </w:r>
      <w:r w:rsidR="00781C15">
        <w:t xml:space="preserve"> 202</w:t>
      </w:r>
      <w:r w:rsidR="00683049">
        <w:t>2</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598375B6" w14:textId="77777777" w:rsidR="002E5658" w:rsidRDefault="00650E95" w:rsidP="00650E95">
      <w:pPr>
        <w:rPr>
          <w:color w:val="auto"/>
        </w:rPr>
      </w:pPr>
      <w:r>
        <w:rPr>
          <w:b/>
        </w:rPr>
        <w:t>Instructor:</w:t>
      </w:r>
      <w:r>
        <w:t xml:space="preserve"> </w:t>
      </w:r>
      <w:r w:rsidR="002E5658">
        <w:rPr>
          <w:color w:val="auto"/>
        </w:rPr>
        <w:t>Tim Wright, PhD</w:t>
      </w:r>
    </w:p>
    <w:p w14:paraId="51066EE3" w14:textId="168506CD" w:rsidR="00650E95" w:rsidRPr="0022777E" w:rsidRDefault="00650E95" w:rsidP="00650E95">
      <w:pPr>
        <w:rPr>
          <w:b/>
          <w:color w:val="auto"/>
        </w:rPr>
      </w:pPr>
      <w:r w:rsidRPr="0022777E">
        <w:rPr>
          <w:b/>
          <w:color w:val="auto"/>
        </w:rPr>
        <w:t>Office:</w:t>
      </w:r>
      <w:r w:rsidRPr="0022777E">
        <w:rPr>
          <w:color w:val="auto"/>
        </w:rPr>
        <w:t xml:space="preserve"> </w:t>
      </w:r>
      <w:r w:rsidR="001A1D1B" w:rsidRPr="0022777E">
        <w:rPr>
          <w:color w:val="auto"/>
        </w:rPr>
        <w:t>MCCH 13</w:t>
      </w:r>
      <w:r w:rsidR="002E5658">
        <w:rPr>
          <w:color w:val="auto"/>
        </w:rPr>
        <w:t>3</w:t>
      </w:r>
    </w:p>
    <w:p w14:paraId="5B728BCF" w14:textId="2E232D13" w:rsidR="002E5658" w:rsidRDefault="00650E95" w:rsidP="00650E95">
      <w:pPr>
        <w:rPr>
          <w:b/>
          <w:bCs/>
          <w:color w:val="auto"/>
        </w:rPr>
      </w:pPr>
      <w:r>
        <w:rPr>
          <w:b/>
        </w:rPr>
        <w:t>Office Telephone:</w:t>
      </w:r>
      <w:r>
        <w:t xml:space="preserve"> </w:t>
      </w:r>
      <w:r w:rsidR="001A1D1B" w:rsidRPr="0022777E">
        <w:rPr>
          <w:color w:val="auto"/>
        </w:rPr>
        <w:t>715-</w:t>
      </w:r>
      <w:r w:rsidR="005C7EE8" w:rsidRPr="0022777E">
        <w:rPr>
          <w:color w:val="auto"/>
        </w:rPr>
        <w:t>346-</w:t>
      </w:r>
      <w:r w:rsidR="00885949">
        <w:rPr>
          <w:color w:val="auto"/>
        </w:rPr>
        <w:t>4822</w:t>
      </w:r>
      <w:r w:rsidR="005C7EE8" w:rsidRPr="0022777E">
        <w:rPr>
          <w:color w:val="auto"/>
        </w:rPr>
        <w:t xml:space="preserve">     </w:t>
      </w:r>
    </w:p>
    <w:p w14:paraId="7ED8CDEE" w14:textId="2281372F" w:rsidR="00650E95" w:rsidRPr="00C007BD" w:rsidRDefault="00650E95" w:rsidP="00650E95">
      <w:pPr>
        <w:rPr>
          <w:b/>
        </w:rPr>
      </w:pPr>
      <w:r>
        <w:rPr>
          <w:b/>
        </w:rPr>
        <w:t>E-mail:</w:t>
      </w:r>
      <w:r>
        <w:t xml:space="preserve"> </w:t>
      </w:r>
      <w:hyperlink r:id="rId11" w:history="1">
        <w:r w:rsidR="00885949" w:rsidRPr="00964241">
          <w:rPr>
            <w:rStyle w:val="Hyperlink"/>
          </w:rPr>
          <w:t>tim.wright@uwsp.edu</w:t>
        </w:r>
      </w:hyperlink>
      <w:r w:rsidR="00885949">
        <w:t xml:space="preserve"> </w:t>
      </w:r>
      <w:r w:rsidR="005C7EE8" w:rsidRPr="0022777E">
        <w:rPr>
          <w:color w:val="auto"/>
        </w:rPr>
        <w:t>– Preferred Contact</w:t>
      </w:r>
    </w:p>
    <w:p w14:paraId="5E613100" w14:textId="77777777" w:rsidR="00650E95" w:rsidRDefault="00650E95" w:rsidP="00650E95"/>
    <w:p w14:paraId="51A1AB7C" w14:textId="77777777" w:rsidR="00650E95" w:rsidRDefault="00650E95" w:rsidP="00650E95">
      <w:pPr>
        <w:pStyle w:val="Heading2"/>
      </w:pPr>
      <w:r>
        <w:t>Course Information</w:t>
      </w:r>
    </w:p>
    <w:p w14:paraId="423C8FC2" w14:textId="756D0374" w:rsidR="00650E95" w:rsidRPr="0022777E" w:rsidRDefault="00650E95" w:rsidP="00650E95">
      <w:pPr>
        <w:rPr>
          <w:color w:val="auto"/>
        </w:rPr>
      </w:pPr>
      <w:r w:rsidRPr="00281907">
        <w:rPr>
          <w:b/>
          <w:color w:val="auto"/>
        </w:rPr>
        <w:t xml:space="preserve">Course Description: </w:t>
      </w:r>
      <w:r w:rsidR="00750B5D" w:rsidRPr="0022777E">
        <w:rPr>
          <w:color w:val="auto"/>
        </w:rPr>
        <w:t>Content, methods, and assessment techniques for infusing health and physical education concepts into elementary lessons.</w:t>
      </w:r>
    </w:p>
    <w:p w14:paraId="2863EBE8" w14:textId="62053C25" w:rsidR="00650E95" w:rsidRPr="0022777E" w:rsidRDefault="00650E95" w:rsidP="00650E95">
      <w:pPr>
        <w:rPr>
          <w:color w:val="auto"/>
        </w:rPr>
      </w:pPr>
      <w:r w:rsidRPr="0022777E">
        <w:rPr>
          <w:b/>
          <w:color w:val="auto"/>
        </w:rPr>
        <w:t>Credits:</w:t>
      </w:r>
      <w:r w:rsidRPr="0022777E">
        <w:rPr>
          <w:color w:val="auto"/>
        </w:rPr>
        <w:t xml:space="preserve"> </w:t>
      </w:r>
      <w:r w:rsidR="00750B5D" w:rsidRPr="0022777E">
        <w:rPr>
          <w:color w:val="auto"/>
        </w:rPr>
        <w:t>3</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7AD476FC"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proofErr w:type="gramStart"/>
      <w:r w:rsidRPr="197528C1">
        <w:rPr>
          <w:color w:val="333333"/>
        </w:rPr>
        <w:t>hours</w:t>
      </w:r>
      <w:proofErr w:type="gramEnd"/>
      <w:r w:rsidRPr="197528C1">
        <w:rPr>
          <w:color w:val="333333"/>
        </w:rPr>
        <w:t xml:space="preserve"> please resend your email.</w:t>
      </w:r>
      <w:r w:rsidR="00DE52B9">
        <w:rPr>
          <w:color w:val="333333"/>
        </w:rPr>
        <w:t xml:space="preserve"> Note: I will be required to participate in </w:t>
      </w:r>
      <w:proofErr w:type="gramStart"/>
      <w:r w:rsidR="00DE52B9">
        <w:rPr>
          <w:color w:val="333333"/>
        </w:rPr>
        <w:t>University</w:t>
      </w:r>
      <w:proofErr w:type="gramEnd"/>
      <w:r w:rsidR="00DE52B9">
        <w:rPr>
          <w:color w:val="333333"/>
        </w:rPr>
        <w:t xml:space="preserve"> mandated furlough days – thus affecting my response times</w:t>
      </w:r>
      <w:r w:rsidR="00BD4F38">
        <w:rPr>
          <w:color w:val="333333"/>
        </w:rPr>
        <w:t xml:space="preserve">. </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77777777" w:rsidR="00650E95" w:rsidRDefault="00650E95" w:rsidP="00650E95">
      <w:pPr>
        <w:pStyle w:val="ListParagraph"/>
        <w:numPr>
          <w:ilvl w:val="1"/>
          <w:numId w:val="2"/>
        </w:numPr>
      </w:pPr>
      <w:r w:rsidRPr="197528C1">
        <w:rPr>
          <w:color w:val="333333"/>
        </w:rPr>
        <w:t>I will attempt to grade written work within 72 hours, 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2464F386" w:rsidR="00650E95" w:rsidRPr="000D37C0" w:rsidRDefault="00650E95" w:rsidP="00650E95">
      <w:pPr>
        <w:widowControl w:val="0"/>
        <w:spacing w:after="240"/>
      </w:pPr>
      <w:r>
        <w:t xml:space="preserve">If you find that you have </w:t>
      </w:r>
      <w:r w:rsidR="00BD4F38" w:rsidRPr="00BD4F38">
        <w:rPr>
          <w:b/>
          <w:bCs/>
        </w:rPr>
        <w:t>ANY</w:t>
      </w:r>
      <w:r>
        <w:t xml:space="preserve">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52D44A69" w:rsidR="00650E95" w:rsidRDefault="00650E95" w:rsidP="00650E95">
      <w:pPr>
        <w:pStyle w:val="Heading2"/>
      </w:pPr>
      <w:r>
        <w:t xml:space="preserve">*Textbook &amp; Course Materials </w:t>
      </w:r>
    </w:p>
    <w:p w14:paraId="5400628C" w14:textId="734BE47F" w:rsidR="00650E95" w:rsidRDefault="00650E95" w:rsidP="00650E95">
      <w:pPr>
        <w:widowControl w:val="0"/>
        <w:rPr>
          <w:color w:val="910091"/>
        </w:rPr>
      </w:pPr>
      <w:r>
        <w:rPr>
          <w:b/>
        </w:rPr>
        <w:t>Required Text:</w:t>
      </w:r>
      <w:r w:rsidRPr="00281907">
        <w:rPr>
          <w:color w:val="910091"/>
        </w:rPr>
        <w:t xml:space="preserve"> </w:t>
      </w:r>
    </w:p>
    <w:p w14:paraId="4189CEDA" w14:textId="44A4D874" w:rsidR="00B356B6" w:rsidRPr="00281907" w:rsidRDefault="00B356B6" w:rsidP="00650E95">
      <w:pPr>
        <w:widowControl w:val="0"/>
      </w:pPr>
      <w:r w:rsidRPr="00B356B6">
        <w:t xml:space="preserve">Evans, R., Sims, S. (2016). Health and Physical Education for Elementary </w:t>
      </w:r>
      <w:r w:rsidRPr="00B356B6">
        <w:lastRenderedPageBreak/>
        <w:t>Classroom Teachers. Human Kinetics. ISBN: 9781450459914</w:t>
      </w:r>
    </w:p>
    <w:p w14:paraId="433710F7" w14:textId="0E68E291" w:rsidR="007B15DF" w:rsidRPr="007B15DF" w:rsidRDefault="00650E95" w:rsidP="007B15DF">
      <w:pPr>
        <w:widowControl w:val="0"/>
        <w:spacing w:after="120"/>
        <w:rPr>
          <w:b/>
        </w:rPr>
      </w:pPr>
      <w:r>
        <w:rPr>
          <w:b/>
        </w:rPr>
        <w:t xml:space="preserve">Recommended Texts &amp; Other Readings: </w:t>
      </w:r>
      <w:r w:rsidR="007B15DF" w:rsidRPr="007B15DF">
        <w:rPr>
          <w:bCs/>
        </w:rPr>
        <w:t>Provided via Canvas</w:t>
      </w:r>
    </w:p>
    <w:p w14:paraId="16356722" w14:textId="77EB5DA5" w:rsidR="00650E95" w:rsidRDefault="00650E95" w:rsidP="00E96915">
      <w:pPr>
        <w:pStyle w:val="Heading2"/>
      </w:pPr>
      <w:r>
        <w:t>*Course Learning Outcomes</w:t>
      </w:r>
    </w:p>
    <w:p w14:paraId="19C24165" w14:textId="77777777" w:rsidR="00650E95" w:rsidRPr="0022777E" w:rsidRDefault="00650E95" w:rsidP="00650E95">
      <w:pPr>
        <w:widowControl w:val="0"/>
        <w:spacing w:after="240"/>
        <w:rPr>
          <w:b/>
          <w:bCs/>
          <w:color w:val="auto"/>
        </w:rPr>
      </w:pPr>
      <w:r w:rsidRPr="0022777E">
        <w:rPr>
          <w:b/>
          <w:bCs/>
          <w:color w:val="auto"/>
        </w:rPr>
        <w:t>Students will be able to:</w:t>
      </w:r>
    </w:p>
    <w:p w14:paraId="769E1F73" w14:textId="3E5DEE67" w:rsidR="00956D8C" w:rsidRDefault="00956D8C" w:rsidP="00956D8C">
      <w:pPr>
        <w:widowControl w:val="0"/>
        <w:numPr>
          <w:ilvl w:val="0"/>
          <w:numId w:val="11"/>
        </w:numPr>
        <w:spacing w:after="120"/>
      </w:pPr>
      <w:r>
        <w:t xml:space="preserve">Understand </w:t>
      </w:r>
      <w:r w:rsidR="002579D2">
        <w:t xml:space="preserve">and analyze </w:t>
      </w:r>
      <w:r>
        <w:t>the relationship and contributions of physical education programs within the elementary school curriculum and process.</w:t>
      </w:r>
    </w:p>
    <w:p w14:paraId="2B2968A7" w14:textId="2DDFFFAC" w:rsidR="00956D8C" w:rsidRDefault="002579D2" w:rsidP="00956D8C">
      <w:pPr>
        <w:widowControl w:val="0"/>
        <w:numPr>
          <w:ilvl w:val="0"/>
          <w:numId w:val="11"/>
        </w:numPr>
        <w:spacing w:after="120"/>
      </w:pPr>
      <w:r>
        <w:t xml:space="preserve">Examine </w:t>
      </w:r>
      <w:r w:rsidR="00956D8C">
        <w:t>the health-related needs of today’s children.</w:t>
      </w:r>
    </w:p>
    <w:p w14:paraId="6EA09B78" w14:textId="0B73FE9E" w:rsidR="00956D8C" w:rsidRDefault="00956D8C" w:rsidP="00956D8C">
      <w:pPr>
        <w:widowControl w:val="0"/>
        <w:numPr>
          <w:ilvl w:val="0"/>
          <w:numId w:val="11"/>
        </w:numPr>
        <w:spacing w:after="120"/>
      </w:pPr>
      <w:r>
        <w:t xml:space="preserve"> Recognize the importance of physical activity within the elementary school program and discuss the current research related to the physical fitness status of the elementary age student.</w:t>
      </w:r>
    </w:p>
    <w:p w14:paraId="4C538274" w14:textId="4F8B5BBE" w:rsidR="00650E95" w:rsidRDefault="00956D8C" w:rsidP="00956D8C">
      <w:pPr>
        <w:widowControl w:val="0"/>
        <w:numPr>
          <w:ilvl w:val="0"/>
          <w:numId w:val="11"/>
        </w:numPr>
        <w:spacing w:after="120"/>
      </w:pPr>
      <w:r>
        <w:t>Demonstrate academic knowledge and methods to plan and practice integrated and developmentally appropriate activities for elementary students in accordance with the National Health Education Standards and the National Standards for K-12 Physical Education.</w:t>
      </w:r>
    </w:p>
    <w:p w14:paraId="1708FCCF" w14:textId="77777777" w:rsidR="00650E95" w:rsidRDefault="00650E95" w:rsidP="00650E95">
      <w:pPr>
        <w:widowControl w:val="0"/>
        <w:spacing w:after="120"/>
        <w:ind w:left="1080" w:hanging="360"/>
      </w:pP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65C2F727" w:rsidR="00650E95" w:rsidRPr="00EA74D7" w:rsidRDefault="00650E95" w:rsidP="00650E95">
      <w:pPr>
        <w:widowControl w:val="0"/>
        <w:numPr>
          <w:ilvl w:val="0"/>
          <w:numId w:val="4"/>
        </w:numPr>
        <w:spacing w:after="120"/>
        <w:ind w:hanging="360"/>
        <w:rPr>
          <w:b/>
          <w:bCs/>
          <w:color w:val="auto"/>
        </w:rPr>
      </w:pPr>
      <w:r w:rsidRPr="0022777E">
        <w:rPr>
          <w:color w:val="auto"/>
        </w:rPr>
        <w:t>Attend</w:t>
      </w:r>
      <w:r w:rsidR="0000369F" w:rsidRPr="0022777E">
        <w:rPr>
          <w:color w:val="auto"/>
        </w:rPr>
        <w:t xml:space="preserve"> face-to-face </w:t>
      </w:r>
      <w:r w:rsidR="00242872">
        <w:rPr>
          <w:color w:val="auto"/>
        </w:rPr>
        <w:t>class sessions</w:t>
      </w:r>
      <w:r w:rsidR="0065304E">
        <w:rPr>
          <w:color w:val="auto"/>
        </w:rPr>
        <w:t xml:space="preserve"> </w:t>
      </w:r>
      <w:r w:rsidR="0065304E" w:rsidRPr="00EA74D7">
        <w:rPr>
          <w:b/>
          <w:bCs/>
          <w:color w:val="auto"/>
        </w:rPr>
        <w:t>***</w:t>
      </w:r>
      <w:r w:rsidR="00C6623B" w:rsidRPr="00EA74D7">
        <w:rPr>
          <w:b/>
          <w:bCs/>
          <w:color w:val="auto"/>
        </w:rPr>
        <w:t xml:space="preserve">ANY </w:t>
      </w:r>
      <w:r w:rsidR="00C6623B" w:rsidRPr="00EA74D7">
        <w:rPr>
          <w:b/>
          <w:bCs/>
          <w:color w:val="auto"/>
          <w:u w:val="single"/>
        </w:rPr>
        <w:t>UNEXCUSED</w:t>
      </w:r>
      <w:r w:rsidR="00C6623B" w:rsidRPr="00EA74D7">
        <w:rPr>
          <w:b/>
          <w:bCs/>
          <w:color w:val="auto"/>
        </w:rPr>
        <w:t xml:space="preserve"> </w:t>
      </w:r>
      <w:r w:rsidR="00A15302" w:rsidRPr="00EA74D7">
        <w:rPr>
          <w:b/>
          <w:bCs/>
          <w:color w:val="auto"/>
        </w:rPr>
        <w:t xml:space="preserve">ABSENCE FROM THIS CLASS WILL RESULT IN </w:t>
      </w:r>
      <w:r w:rsidR="00812723" w:rsidRPr="00EA74D7">
        <w:rPr>
          <w:b/>
          <w:bCs/>
          <w:color w:val="auto"/>
        </w:rPr>
        <w:t xml:space="preserve">A FULL LETTER GRADE DEDUCTION FROM </w:t>
      </w:r>
      <w:r w:rsidR="00EA74D7" w:rsidRPr="00EA74D7">
        <w:rPr>
          <w:b/>
          <w:bCs/>
          <w:color w:val="auto"/>
        </w:rPr>
        <w:t>THE FINAL GRADE***</w:t>
      </w:r>
    </w:p>
    <w:p w14:paraId="206A8BEE" w14:textId="350D728C" w:rsidR="00650E95" w:rsidRPr="0022777E" w:rsidRDefault="00650E95" w:rsidP="00650E95">
      <w:pPr>
        <w:widowControl w:val="0"/>
        <w:numPr>
          <w:ilvl w:val="0"/>
          <w:numId w:val="4"/>
        </w:numPr>
        <w:spacing w:after="120"/>
        <w:ind w:hanging="360"/>
        <w:rPr>
          <w:color w:val="auto"/>
        </w:rPr>
      </w:pPr>
      <w:r w:rsidRPr="0022777E">
        <w:rPr>
          <w:color w:val="auto"/>
        </w:rPr>
        <w:t>Complete</w:t>
      </w:r>
      <w:r w:rsidR="0000369F" w:rsidRPr="0022777E">
        <w:rPr>
          <w:color w:val="auto"/>
        </w:rPr>
        <w:t xml:space="preserve"> </w:t>
      </w:r>
      <w:r w:rsidR="005C277C" w:rsidRPr="0022777E">
        <w:rPr>
          <w:color w:val="auto"/>
        </w:rPr>
        <w:t xml:space="preserve">lesson plans integrating health and physical education content into a classroom setting. </w:t>
      </w:r>
    </w:p>
    <w:p w14:paraId="3286EE52" w14:textId="66207120" w:rsidR="00650E95" w:rsidRPr="0022777E" w:rsidRDefault="00650E95" w:rsidP="00650E95">
      <w:pPr>
        <w:widowControl w:val="0"/>
        <w:numPr>
          <w:ilvl w:val="0"/>
          <w:numId w:val="4"/>
        </w:numPr>
        <w:spacing w:after="120"/>
        <w:ind w:hanging="360"/>
        <w:rPr>
          <w:color w:val="auto"/>
        </w:rPr>
      </w:pPr>
      <w:r w:rsidRPr="0022777E">
        <w:rPr>
          <w:color w:val="auto"/>
        </w:rPr>
        <w:t>Participate</w:t>
      </w:r>
      <w:r w:rsidR="005C277C" w:rsidRPr="0022777E">
        <w:rPr>
          <w:color w:val="auto"/>
        </w:rPr>
        <w:t xml:space="preserve"> in assignments</w:t>
      </w:r>
      <w:r w:rsidR="002929C1" w:rsidRPr="0022777E">
        <w:rPr>
          <w:color w:val="auto"/>
        </w:rPr>
        <w:t xml:space="preserve">, </w:t>
      </w:r>
      <w:r w:rsidR="005C277C" w:rsidRPr="0022777E">
        <w:rPr>
          <w:color w:val="auto"/>
        </w:rPr>
        <w:t>discussions</w:t>
      </w:r>
      <w:r w:rsidR="002929C1" w:rsidRPr="0022777E">
        <w:rPr>
          <w:color w:val="auto"/>
        </w:rPr>
        <w:t>, and assessments.</w:t>
      </w:r>
    </w:p>
    <w:p w14:paraId="454C0FB8" w14:textId="77777777" w:rsidR="00650E95" w:rsidRPr="004603D4" w:rsidRDefault="00650E95" w:rsidP="00650E95"/>
    <w:p w14:paraId="61982971" w14:textId="77777777" w:rsidR="00650E95" w:rsidRDefault="00650E95" w:rsidP="00650E95">
      <w:pPr>
        <w:pStyle w:val="Heading2"/>
      </w:pPr>
      <w:r>
        <w:t>*Topic Outline/Schedule</w:t>
      </w:r>
    </w:p>
    <w:p w14:paraId="257AB65C" w14:textId="2C04EE49"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72D80FA5" w14:textId="5B4C960D" w:rsidR="00650E95" w:rsidRDefault="00650E95" w:rsidP="003C54D0">
      <w:pPr>
        <w:pStyle w:val="InstructorFill"/>
        <w:ind w:left="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008DEAC8" w:rsidR="00650E95" w:rsidRDefault="00650E95" w:rsidP="00650E95">
      <w:pPr>
        <w:pStyle w:val="ListParagraph"/>
        <w:numPr>
          <w:ilvl w:val="0"/>
          <w:numId w:val="4"/>
        </w:numPr>
      </w:pPr>
      <w:r w:rsidRPr="4FD3A8E3">
        <w:t xml:space="preserve">download and upload documents to </w:t>
      </w:r>
      <w:r w:rsidR="003C54D0">
        <w:t>Canvas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5BD2B41" w14:textId="1FCF78E0" w:rsidR="00650E95" w:rsidRDefault="00650E95" w:rsidP="00650E95">
      <w:pPr>
        <w:pStyle w:val="ListParagraph"/>
        <w:numPr>
          <w:ilvl w:val="0"/>
          <w:numId w:val="4"/>
        </w:numPr>
      </w:pPr>
      <w:r w:rsidRPr="4FD3A8E3">
        <w:t xml:space="preserve">complete quizzes/tests </w:t>
      </w:r>
    </w:p>
    <w:p w14:paraId="65313613" w14:textId="77777777" w:rsidR="00650E95" w:rsidRDefault="00650E95" w:rsidP="00650E95">
      <w:pPr>
        <w:pStyle w:val="ListParagraph"/>
        <w:numPr>
          <w:ilvl w:val="0"/>
          <w:numId w:val="4"/>
        </w:numPr>
      </w:pPr>
      <w:r w:rsidRPr="4FD3A8E3">
        <w:t xml:space="preserve">upload documents to </w:t>
      </w:r>
      <w:r>
        <w:t>Canvas to submit an assignment</w:t>
      </w:r>
    </w:p>
    <w:p w14:paraId="58E97786" w14:textId="356E4EFE" w:rsidR="00A87380" w:rsidRDefault="00A87380" w:rsidP="00650E95">
      <w:pPr>
        <w:pStyle w:val="ListParagraph"/>
        <w:numPr>
          <w:ilvl w:val="0"/>
          <w:numId w:val="4"/>
        </w:numPr>
      </w:pPr>
      <w:r>
        <w:lastRenderedPageBreak/>
        <w:t>participate in activities in the lab</w:t>
      </w:r>
      <w:r w:rsidR="005C74E2">
        <w:t>s</w:t>
      </w:r>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2">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EB1970"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78F3787"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50E95" w14:paraId="2FFE9C16" w14:textId="77777777" w:rsidTr="00004C3C">
        <w:trPr>
          <w:trHeight w:val="544"/>
        </w:trPr>
        <w:tc>
          <w:tcPr>
            <w:tcW w:w="4765" w:type="dxa"/>
          </w:tcPr>
          <w:p w14:paraId="18556DC2"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8"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9"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77777777" w:rsidR="00650E95" w:rsidRDefault="00650E95" w:rsidP="00004C3C">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0">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21"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059314EE" w14:textId="3701DB7D" w:rsidR="00650E95" w:rsidRPr="00B94AE3" w:rsidRDefault="00650E95" w:rsidP="00291E0D">
      <w:pPr>
        <w:widowControl w:val="0"/>
        <w:numPr>
          <w:ilvl w:val="0"/>
          <w:numId w:val="4"/>
        </w:numPr>
        <w:spacing w:after="120"/>
        <w:ind w:hanging="360"/>
      </w:pPr>
      <w:r>
        <w:t xml:space="preserve">View this website to see </w:t>
      </w:r>
      <w:hyperlink r:id="rId22" w:history="1">
        <w:r w:rsidRPr="004E4224">
          <w:rPr>
            <w:rStyle w:val="Hyperlink"/>
          </w:rPr>
          <w:t xml:space="preserve">minimum recommended computer and internet </w:t>
        </w:r>
        <w:r w:rsidRPr="004E4224">
          <w:rPr>
            <w:rStyle w:val="Hyperlink"/>
          </w:rPr>
          <w:lastRenderedPageBreak/>
          <w:t>configurations for Canvas</w:t>
        </w:r>
      </w:hyperlink>
      <w:r>
        <w:t>.</w:t>
      </w:r>
    </w:p>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3"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Have updated antivirus software installed on your devices</w:t>
      </w:r>
    </w:p>
    <w:p w14:paraId="67DC8644" w14:textId="77777777" w:rsidR="00650E95" w:rsidRDefault="00650E95" w:rsidP="00650E95"/>
    <w:p w14:paraId="1217D11F" w14:textId="77777777" w:rsidR="00650E95" w:rsidRDefault="00650E95" w:rsidP="00650E95"/>
    <w:p w14:paraId="36BE53C0" w14:textId="77777777" w:rsidR="00650E95" w:rsidRDefault="00650E95" w:rsidP="00650E95">
      <w:pPr>
        <w:pStyle w:val="Heading3"/>
      </w:pPr>
      <w:r>
        <w:t xml:space="preserve">RECOMMENDED SYLLABUS LANGUAGE FOR INSTRUCTORS WHO INTEND TO USE APPLICATIONS OR SERVICES THAT HAVE NOT BEEN APPROVED BY UW-SYSTEM </w:t>
      </w:r>
    </w:p>
    <w:p w14:paraId="3E9FBD26" w14:textId="77777777" w:rsidR="00650E95" w:rsidRDefault="00650E95" w:rsidP="00650E95">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5">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6">
        <w:r w:rsidRPr="257A4FD1">
          <w:rPr>
            <w:rStyle w:val="Hyperlink"/>
          </w:rPr>
          <w:t>techhelp@uwsp.edu</w:t>
        </w:r>
      </w:hyperlink>
      <w:r w:rsidRPr="257A4FD1">
        <w:t xml:space="preserve"> </w:t>
      </w:r>
    </w:p>
    <w:p w14:paraId="541CF47B" w14:textId="77777777" w:rsidR="00650E95" w:rsidRDefault="00650E95" w:rsidP="00650E95">
      <w:pPr>
        <w:pStyle w:val="Heading1"/>
      </w:pPr>
      <w:r>
        <w:lastRenderedPageBreak/>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sidRPr="00386E8B">
        <w:rPr>
          <w:b/>
          <w:bCs/>
          <w:i/>
          <w:color w:val="FF0000"/>
        </w:rPr>
        <w:t>before the due date</w:t>
      </w:r>
      <w:r w:rsidRPr="00386E8B">
        <w:rPr>
          <w:b/>
          <w:bCs/>
          <w:color w:val="FF0000"/>
        </w:rPr>
        <w:t>.</w:t>
      </w:r>
      <w:r>
        <w:t xml:space="preserve"> Extensions will not be given beyond the next assignment except under extreme circumstances. </w:t>
      </w:r>
    </w:p>
    <w:p w14:paraId="450F44FF" w14:textId="37D8C0B5" w:rsidR="00650E95" w:rsidRDefault="00650E95" w:rsidP="00650E95">
      <w:pPr>
        <w:widowControl w:val="0"/>
        <w:spacing w:after="240"/>
      </w:pPr>
      <w:r>
        <w:t>All discussion assignments must be completed by the assignment due date and time. Late or missing discussion assignments will affect the student’s grade.</w:t>
      </w:r>
    </w:p>
    <w:p w14:paraId="1165A67D" w14:textId="25F15174" w:rsidR="00836AA3" w:rsidRPr="00AD04BB" w:rsidRDefault="00836AA3" w:rsidP="00650E95">
      <w:pPr>
        <w:widowControl w:val="0"/>
        <w:spacing w:after="240"/>
        <w:rPr>
          <w:b/>
          <w:bCs/>
          <w:color w:val="FF0000"/>
        </w:rPr>
      </w:pPr>
      <w:r w:rsidRPr="00AD04BB">
        <w:rPr>
          <w:b/>
          <w:bCs/>
          <w:color w:val="FF0000"/>
        </w:rPr>
        <w:t>To keep the course streamlined, ASSIGNMENTS will de due each SUNDAY</w:t>
      </w:r>
      <w:r w:rsidR="00AD04BB" w:rsidRPr="00AD04BB">
        <w:rPr>
          <w:b/>
          <w:bCs/>
          <w:color w:val="FF0000"/>
        </w:rPr>
        <w:t xml:space="preserve"> EVENING. </w:t>
      </w:r>
    </w:p>
    <w:p w14:paraId="75D6C632" w14:textId="77777777" w:rsidR="00650E95" w:rsidRDefault="00650E95" w:rsidP="00650E95">
      <w:pPr>
        <w:pStyle w:val="Heading2"/>
      </w:pPr>
      <w:r>
        <w:t xml:space="preserve">Graded Course Activities </w:t>
      </w:r>
    </w:p>
    <w:p w14:paraId="4BDC6639" w14:textId="401A4330" w:rsidR="00650E95" w:rsidRDefault="00650E95" w:rsidP="00650E95">
      <w:pPr>
        <w:widowControl w:val="0"/>
        <w:spacing w:after="240"/>
      </w:pPr>
      <w:r>
        <w:t xml:space="preserve">Click the </w:t>
      </w:r>
      <w:r>
        <w:rPr>
          <w:b/>
          <w:bCs/>
        </w:rPr>
        <w:t>Assignments</w:t>
      </w:r>
      <w:r>
        <w:t xml:space="preserve"> link in Canvas to access assignment listing, </w:t>
      </w:r>
      <w:r w:rsidR="00AD04BB">
        <w:t>categories,</w:t>
      </w:r>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650E95" w14:paraId="36E1C500" w14:textId="77777777" w:rsidTr="00004C3C">
        <w:tc>
          <w:tcPr>
            <w:tcW w:w="5589" w:type="dxa"/>
          </w:tcPr>
          <w:p w14:paraId="614A7684" w14:textId="77777777" w:rsidR="00650E95" w:rsidRDefault="00650E95" w:rsidP="00004C3C">
            <w:r>
              <w:rPr>
                <w:b/>
              </w:rPr>
              <w:t>Description</w:t>
            </w:r>
          </w:p>
        </w:tc>
        <w:tc>
          <w:tcPr>
            <w:tcW w:w="1791" w:type="dxa"/>
          </w:tcPr>
          <w:p w14:paraId="00B18FAE" w14:textId="77777777" w:rsidR="00650E95" w:rsidRDefault="00650E95" w:rsidP="00004C3C">
            <w:pPr>
              <w:tabs>
                <w:tab w:val="right" w:pos="2421"/>
              </w:tabs>
            </w:pPr>
            <w:r>
              <w:rPr>
                <w:b/>
              </w:rPr>
              <w:t>Points</w:t>
            </w:r>
            <w:r>
              <w:rPr>
                <w:b/>
              </w:rPr>
              <w:tab/>
            </w:r>
          </w:p>
        </w:tc>
      </w:tr>
      <w:tr w:rsidR="00650E95" w14:paraId="017276DF" w14:textId="77777777" w:rsidTr="00004C3C">
        <w:tc>
          <w:tcPr>
            <w:tcW w:w="5589" w:type="dxa"/>
          </w:tcPr>
          <w:p w14:paraId="0E4F7316" w14:textId="60EA544C" w:rsidR="00650E95" w:rsidRPr="00FD4B92" w:rsidRDefault="00650E95" w:rsidP="00004C3C">
            <w:pPr>
              <w:rPr>
                <w:color w:val="auto"/>
              </w:rPr>
            </w:pPr>
            <w:r w:rsidRPr="00FD4B92">
              <w:rPr>
                <w:color w:val="auto"/>
              </w:rPr>
              <w:t xml:space="preserve">Item 1  </w:t>
            </w:r>
          </w:p>
        </w:tc>
        <w:tc>
          <w:tcPr>
            <w:tcW w:w="1791" w:type="dxa"/>
          </w:tcPr>
          <w:p w14:paraId="18FEC905" w14:textId="77777777" w:rsidR="00650E95" w:rsidRDefault="00650E95" w:rsidP="00004C3C">
            <w:r>
              <w:rPr>
                <w:color w:val="910091"/>
              </w:rPr>
              <w:t>#</w:t>
            </w:r>
          </w:p>
        </w:tc>
      </w:tr>
      <w:tr w:rsidR="00650E95" w14:paraId="368B44B7" w14:textId="77777777" w:rsidTr="00004C3C">
        <w:tc>
          <w:tcPr>
            <w:tcW w:w="5589" w:type="dxa"/>
          </w:tcPr>
          <w:p w14:paraId="1F470961" w14:textId="77777777" w:rsidR="00650E95" w:rsidRPr="00FD4B92" w:rsidRDefault="00650E95" w:rsidP="00004C3C">
            <w:pPr>
              <w:rPr>
                <w:color w:val="auto"/>
              </w:rPr>
            </w:pPr>
            <w:r w:rsidRPr="00FD4B92">
              <w:rPr>
                <w:color w:val="auto"/>
              </w:rPr>
              <w:t>Item 2</w:t>
            </w:r>
          </w:p>
        </w:tc>
        <w:tc>
          <w:tcPr>
            <w:tcW w:w="1791" w:type="dxa"/>
          </w:tcPr>
          <w:p w14:paraId="033F82D8" w14:textId="77777777" w:rsidR="00650E95" w:rsidRDefault="00650E95" w:rsidP="00004C3C">
            <w:r>
              <w:rPr>
                <w:color w:val="910091"/>
              </w:rPr>
              <w:t>#</w:t>
            </w:r>
          </w:p>
        </w:tc>
      </w:tr>
      <w:tr w:rsidR="00650E95" w14:paraId="2FDD941F" w14:textId="77777777" w:rsidTr="00004C3C">
        <w:tc>
          <w:tcPr>
            <w:tcW w:w="5589" w:type="dxa"/>
          </w:tcPr>
          <w:p w14:paraId="17D7F112" w14:textId="77777777" w:rsidR="00650E95" w:rsidRDefault="00650E95" w:rsidP="00004C3C">
            <w:r>
              <w:t>Total Points Possible</w:t>
            </w:r>
          </w:p>
        </w:tc>
        <w:tc>
          <w:tcPr>
            <w:tcW w:w="1791" w:type="dxa"/>
          </w:tcPr>
          <w:p w14:paraId="52480466" w14:textId="77777777" w:rsidR="00650E95" w:rsidRDefault="00650E95" w:rsidP="00004C3C">
            <w:r>
              <w:t>100</w:t>
            </w:r>
          </w:p>
        </w:tc>
      </w:tr>
    </w:tbl>
    <w:p w14:paraId="628845A6" w14:textId="77777777" w:rsidR="00650E95" w:rsidRDefault="00650E95" w:rsidP="00650E95">
      <w:pPr>
        <w:pStyle w:val="Heading2"/>
      </w:pPr>
      <w:r>
        <w:t xml:space="preserve">Late Work Policy </w:t>
      </w:r>
    </w:p>
    <w:p w14:paraId="20E4C9B9" w14:textId="6C8D7D64" w:rsidR="00650E95" w:rsidRPr="00FD4B92" w:rsidRDefault="00650E95" w:rsidP="00650E95">
      <w:pPr>
        <w:widowControl w:val="0"/>
        <w:spacing w:after="240"/>
        <w:rPr>
          <w:color w:val="auto"/>
        </w:rPr>
      </w:pPr>
      <w:r w:rsidRPr="00FD4B92">
        <w:rPr>
          <w:color w:val="auto"/>
        </w:rPr>
        <w:t>Be sure to pay close attention to deadlines—there will be no make-up assignments or quizzes, or late work accepted without a serious and compelling reason and instructor approval.</w:t>
      </w:r>
    </w:p>
    <w:p w14:paraId="041B7E93" w14:textId="77777777" w:rsidR="00650E95" w:rsidRDefault="00650E95" w:rsidP="00650E95">
      <w:pPr>
        <w:pStyle w:val="Heading2"/>
      </w:pPr>
      <w:r>
        <w:t>*Letter Grade Assignment</w:t>
      </w:r>
    </w:p>
    <w:p w14:paraId="2DD38201" w14:textId="1FAFB990" w:rsidR="00650E95" w:rsidRPr="00FD4B92" w:rsidRDefault="00650E95" w:rsidP="00650E95">
      <w:pPr>
        <w:widowControl w:val="0"/>
        <w:spacing w:after="240"/>
        <w:rPr>
          <w:color w:val="auto"/>
        </w:rPr>
      </w:pPr>
      <w:r w:rsidRPr="00FD4B92">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lastRenderedPageBreak/>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46F96C46" w:rsidR="00650E95" w:rsidRPr="00FD4B92" w:rsidRDefault="00650E95" w:rsidP="00650E95">
      <w:pPr>
        <w:widowControl w:val="0"/>
        <w:spacing w:after="240"/>
        <w:rPr>
          <w:color w:val="auto"/>
        </w:rPr>
      </w:pPr>
      <w:r w:rsidRPr="00FD4B92">
        <w:rPr>
          <w:color w:val="auto"/>
        </w:rPr>
        <w:t xml:space="preserve">Your instructor will update the online grades each time a grading session has been complete—typically </w:t>
      </w:r>
      <w:r w:rsidR="00F66D45" w:rsidRPr="00FD4B92">
        <w:rPr>
          <w:color w:val="auto"/>
        </w:rPr>
        <w:t>3</w:t>
      </w:r>
      <w:r w:rsidRPr="00FD4B92">
        <w:rPr>
          <w:color w:val="auto"/>
        </w:rPr>
        <w:t xml:space="preserve"> days following the completion of an activity. You will see a visual indication of new grades posted on your Canvas home page under the link to this course.</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7">
        <w:r>
          <w:rPr>
            <w:color w:val="0563C1"/>
            <w:sz w:val="24"/>
            <w:szCs w:val="24"/>
            <w:u w:val="single"/>
          </w:rPr>
          <w:t>not to exceed two (2)</w:t>
        </w:r>
      </w:hyperlink>
      <w:r>
        <w:rPr>
          <w:color w:val="100515"/>
          <w:sz w:val="24"/>
          <w:szCs w:val="24"/>
        </w:rPr>
        <w:t xml:space="preserve"> </w:t>
      </w:r>
      <w:hyperlink r:id="rId28">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9">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w:t>
      </w:r>
      <w:r>
        <w:lastRenderedPageBreak/>
        <w:t xml:space="preserve">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5958CEE8" w:rsidR="00650E95" w:rsidRDefault="00650E95" w:rsidP="00650E95">
      <w:pPr>
        <w:ind w:left="1080"/>
      </w:pPr>
      <w:r>
        <w:t xml:space="preserve">(a)  Seeks to claim credit for the work or efforts of another without authorization or </w:t>
      </w:r>
      <w:r w:rsidR="00F66D45">
        <w:t>citation.</w:t>
      </w:r>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0">
        <w:r>
          <w:t xml:space="preserve"> </w:t>
        </w:r>
      </w:hyperlink>
      <w:hyperlink r:id="rId31">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2">
        <w:r>
          <w:t xml:space="preserve"> </w:t>
        </w:r>
      </w:hyperlink>
      <w:hyperlink r:id="rId33">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lastRenderedPageBreak/>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5">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6">
        <w:r>
          <w:rPr>
            <w:b/>
          </w:rPr>
          <w:t xml:space="preserve"> </w:t>
        </w:r>
      </w:hyperlink>
      <w:hyperlink r:id="rId37">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77777777"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 </w:t>
      </w:r>
      <w:r w:rsidRPr="00B223A5">
        <w:rPr>
          <w:highlight w:val="yellow"/>
        </w:rPr>
        <w:t>[list location in room or nearest your classroom]</w:t>
      </w:r>
      <w:r w:rsidRPr="005A4522">
        <w:t xml:space="preserve">. </w:t>
      </w:r>
      <w:proofErr w:type="gramStart"/>
      <w:r w:rsidRPr="005A4522">
        <w:t>Offer assistance</w:t>
      </w:r>
      <w:proofErr w:type="gramEnd"/>
      <w:r w:rsidRPr="005A4522">
        <w:t xml:space="preserve"> if trained and willing to do so. Guide emergency responders to victim. </w:t>
      </w:r>
      <w:r w:rsidRPr="005A4522">
        <w:br/>
      </w:r>
    </w:p>
    <w:p w14:paraId="4186DB2E" w14:textId="77777777"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at</w:t>
      </w:r>
      <w:r w:rsidRPr="00B223A5">
        <w:rPr>
          <w:highlight w:val="yellow"/>
        </w:rPr>
        <w:t xml:space="preserve"> [list primary location for shelter closest to classroom,]</w:t>
      </w:r>
      <w:r w:rsidRPr="005A4522">
        <w:t xml:space="preserve">.   See </w:t>
      </w:r>
      <w:hyperlink r:id="rId38"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77777777"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at </w:t>
      </w:r>
      <w:r w:rsidRPr="00B223A5">
        <w:rPr>
          <w:highlight w:val="yellow"/>
        </w:rPr>
        <w:t xml:space="preserve">[state logical location to meet 200 yards away from </w:t>
      </w:r>
      <w:r w:rsidRPr="00B223A5">
        <w:rPr>
          <w:highlight w:val="yellow"/>
        </w:rPr>
        <w:lastRenderedPageBreak/>
        <w:t>building]</w:t>
      </w:r>
      <w:r w:rsidRPr="005A4522">
        <w:t xml:space="preserve">.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9"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77777777"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41B92554" w:rsidR="00650E95" w:rsidRDefault="00650E95" w:rsidP="00650E95">
      <w:pPr>
        <w:rPr>
          <w:rFonts w:ascii="Calibri" w:eastAsiaTheme="minorHAnsi" w:hAnsi="Calibri" w:cs="Calibri"/>
        </w:rPr>
      </w:pPr>
      <w:r w:rsidRPr="00206D2B">
        <w:t xml:space="preserve">Lecture materials and recordings for </w:t>
      </w:r>
      <w:r w:rsidR="00C65AF1">
        <w:t>PHED 250</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w:t>
      </w:r>
      <w:r w:rsidRPr="00206D2B">
        <w:lastRenderedPageBreak/>
        <w:t>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Pr="009C690A" w:rsidRDefault="00650E95" w:rsidP="00650E95"/>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77777777" w:rsidR="00650E95" w:rsidRPr="00A05206" w:rsidRDefault="00650E95" w:rsidP="00004C3C">
            <w:pPr>
              <w:ind w:left="0"/>
            </w:pPr>
            <w:r w:rsidRPr="00A05206">
              <w:t>Tutoring and Learning Center helps with Study Skills, Writing, Technology, Math, &amp; Science. 018 Albertson Hall, ext 3568</w:t>
            </w:r>
          </w:p>
        </w:tc>
        <w:tc>
          <w:tcPr>
            <w:tcW w:w="0" w:type="auto"/>
            <w:tcMar>
              <w:top w:w="144" w:type="dxa"/>
              <w:left w:w="144" w:type="dxa"/>
              <w:bottom w:w="144" w:type="dxa"/>
              <w:right w:w="144" w:type="dxa"/>
            </w:tcMar>
          </w:tcPr>
          <w:p w14:paraId="378FBB7F" w14:textId="77777777" w:rsidR="00650E95" w:rsidRPr="00A05206" w:rsidRDefault="00650E95" w:rsidP="00004C3C">
            <w:pPr>
              <w:ind w:left="0"/>
            </w:pPr>
            <w:r w:rsidRPr="00A05206">
              <w:t>Academic and Career Advising Center, 320 Albertson Hall, ext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t xml:space="preserve">Counseling Center, </w:t>
            </w:r>
            <w:proofErr w:type="spellStart"/>
            <w:r w:rsidRPr="00A05206">
              <w:t>Delzell</w:t>
            </w:r>
            <w:proofErr w:type="spellEnd"/>
            <w:r w:rsidRPr="00A05206">
              <w:t xml:space="preserve"> Hall, ext. 3553. Health Care, </w:t>
            </w:r>
            <w:proofErr w:type="spellStart"/>
            <w:r w:rsidRPr="00A05206">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1F25252C" w14:textId="0171E7EB" w:rsidR="00650E95" w:rsidRPr="0064403B" w:rsidRDefault="00650E95" w:rsidP="0064403B">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747070CA" w:rsidR="00650E95" w:rsidRDefault="00650E95" w:rsidP="00650E95">
      <w:pPr>
        <w:widowControl w:val="0"/>
        <w:spacing w:after="240"/>
      </w:pPr>
      <w:r>
        <w:t xml:space="preserve">Under emergency/special circumstances, students may petition for an incomplete grade. An incomplete will only be assigned </w:t>
      </w:r>
      <w:r w:rsidRPr="00D51C4D">
        <w:rPr>
          <w:color w:val="auto"/>
        </w:rPr>
        <w:t xml:space="preserve">if </w:t>
      </w:r>
      <w:r w:rsidR="00D51C4D" w:rsidRPr="00D51C4D">
        <w:rPr>
          <w:color w:val="auto"/>
        </w:rPr>
        <w:t xml:space="preserve">the student communicates with the instructor and the instructor agrees. </w:t>
      </w:r>
      <w:r w:rsidRPr="00D51C4D">
        <w:rPr>
          <w:color w:val="auto"/>
        </w:rPr>
        <w:t xml:space="preserve"> </w:t>
      </w:r>
      <w:r>
        <w:t>All incomplete course assignments must be completed within</w:t>
      </w:r>
      <w:r w:rsidR="00D51C4D">
        <w:t xml:space="preserve"> the following semester. </w:t>
      </w:r>
    </w:p>
    <w:p w14:paraId="204AA9DD" w14:textId="77777777" w:rsidR="00650E95" w:rsidRPr="00C2011D" w:rsidRDefault="00650E95" w:rsidP="00650E95">
      <w:pPr>
        <w:pStyle w:val="Heading2"/>
      </w:pPr>
      <w:r w:rsidRPr="00C2011D">
        <w:lastRenderedPageBreak/>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acceptable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5">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6">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lastRenderedPageBreak/>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14:paraId="23EDBDA1" w14:textId="77777777" w:rsidR="0076218F" w:rsidRPr="00653FAB" w:rsidRDefault="0076218F" w:rsidP="00653FAB"/>
    <w:sectPr w:rsidR="0076218F" w:rsidRPr="00653FAB" w:rsidSect="008C458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76EA" w14:textId="77777777" w:rsidR="006D4311" w:rsidRDefault="006D4311" w:rsidP="008C4582">
      <w:r>
        <w:separator/>
      </w:r>
    </w:p>
  </w:endnote>
  <w:endnote w:type="continuationSeparator" w:id="0">
    <w:p w14:paraId="213EB846" w14:textId="77777777" w:rsidR="006D4311" w:rsidRDefault="006D4311"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B13F" w14:textId="77777777" w:rsidR="006D4311" w:rsidRDefault="006D4311" w:rsidP="008C4582">
      <w:r>
        <w:separator/>
      </w:r>
    </w:p>
  </w:footnote>
  <w:footnote w:type="continuationSeparator" w:id="0">
    <w:p w14:paraId="667DBF0D" w14:textId="77777777" w:rsidR="006D4311" w:rsidRDefault="006D4311"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649FDC1B" w:rsidR="008C4582" w:rsidRPr="00393221" w:rsidRDefault="00C0662E" w:rsidP="001E7127">
    <w:pPr>
      <w:pStyle w:val="Header"/>
      <w:ind w:left="0"/>
      <w:rPr>
        <w:color w:val="auto"/>
      </w:rPr>
    </w:pPr>
    <w:r w:rsidRPr="00393221">
      <w:rPr>
        <w:color w:val="auto"/>
      </w:rPr>
      <w:t>PHED 250</w:t>
    </w:r>
    <w:r w:rsidR="008C4582" w:rsidRPr="00393221">
      <w:rPr>
        <w:color w:val="auto"/>
      </w:rPr>
      <w:ptab w:relativeTo="margin" w:alignment="center" w:leader="none"/>
    </w:r>
    <w:r w:rsidR="008C4582" w:rsidRPr="00393221">
      <w:rPr>
        <w:color w:val="auto"/>
      </w:rPr>
      <w:ptab w:relativeTo="margin" w:alignment="right" w:leader="none"/>
    </w:r>
    <w:r w:rsidR="00885949">
      <w:rPr>
        <w:color w:val="auto"/>
      </w:rPr>
      <w:t>Spring</w:t>
    </w:r>
    <w:r w:rsidRPr="00393221">
      <w:rPr>
        <w:color w:val="auto"/>
      </w:rPr>
      <w:t xml:space="preserve"> 2020</w:t>
    </w:r>
    <w:r w:rsidR="008C4582" w:rsidRPr="00393221">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9"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1"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584922138">
    <w:abstractNumId w:val="0"/>
  </w:num>
  <w:num w:numId="2" w16cid:durableId="1624657192">
    <w:abstractNumId w:val="7"/>
  </w:num>
  <w:num w:numId="3" w16cid:durableId="1284533115">
    <w:abstractNumId w:val="1"/>
  </w:num>
  <w:num w:numId="4" w16cid:durableId="1252393769">
    <w:abstractNumId w:val="14"/>
  </w:num>
  <w:num w:numId="5" w16cid:durableId="95251168">
    <w:abstractNumId w:val="8"/>
  </w:num>
  <w:num w:numId="6" w16cid:durableId="1286545213">
    <w:abstractNumId w:val="5"/>
  </w:num>
  <w:num w:numId="7" w16cid:durableId="1331442583">
    <w:abstractNumId w:val="6"/>
  </w:num>
  <w:num w:numId="8" w16cid:durableId="58789144">
    <w:abstractNumId w:val="13"/>
  </w:num>
  <w:num w:numId="9" w16cid:durableId="623075196">
    <w:abstractNumId w:val="11"/>
  </w:num>
  <w:num w:numId="10" w16cid:durableId="1242301350">
    <w:abstractNumId w:val="3"/>
  </w:num>
  <w:num w:numId="11" w16cid:durableId="681591881">
    <w:abstractNumId w:val="12"/>
  </w:num>
  <w:num w:numId="12" w16cid:durableId="541600238">
    <w:abstractNumId w:val="10"/>
  </w:num>
  <w:num w:numId="13" w16cid:durableId="1351839199">
    <w:abstractNumId w:val="4"/>
  </w:num>
  <w:num w:numId="14" w16cid:durableId="471752228">
    <w:abstractNumId w:val="9"/>
  </w:num>
  <w:num w:numId="15" w16cid:durableId="892085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369F"/>
    <w:rsid w:val="00011DC9"/>
    <w:rsid w:val="0001440A"/>
    <w:rsid w:val="00045226"/>
    <w:rsid w:val="00052B82"/>
    <w:rsid w:val="00053A09"/>
    <w:rsid w:val="000621C7"/>
    <w:rsid w:val="000713C2"/>
    <w:rsid w:val="00084DC2"/>
    <w:rsid w:val="000A6E7E"/>
    <w:rsid w:val="000B0035"/>
    <w:rsid w:val="000C56FE"/>
    <w:rsid w:val="000D3002"/>
    <w:rsid w:val="000F3D17"/>
    <w:rsid w:val="000F4F4E"/>
    <w:rsid w:val="001432DD"/>
    <w:rsid w:val="00195429"/>
    <w:rsid w:val="001A1D1B"/>
    <w:rsid w:val="001C51AA"/>
    <w:rsid w:val="001E7127"/>
    <w:rsid w:val="00212EA0"/>
    <w:rsid w:val="00213B23"/>
    <w:rsid w:val="0022777E"/>
    <w:rsid w:val="0024162F"/>
    <w:rsid w:val="00242872"/>
    <w:rsid w:val="002579D2"/>
    <w:rsid w:val="00281907"/>
    <w:rsid w:val="0028213F"/>
    <w:rsid w:val="00291E0D"/>
    <w:rsid w:val="002929C1"/>
    <w:rsid w:val="002944F4"/>
    <w:rsid w:val="002B5810"/>
    <w:rsid w:val="002B754A"/>
    <w:rsid w:val="002D032C"/>
    <w:rsid w:val="002E5658"/>
    <w:rsid w:val="002F70ED"/>
    <w:rsid w:val="003260EC"/>
    <w:rsid w:val="003427F5"/>
    <w:rsid w:val="00350068"/>
    <w:rsid w:val="0037012F"/>
    <w:rsid w:val="00373687"/>
    <w:rsid w:val="00386E8B"/>
    <w:rsid w:val="00393221"/>
    <w:rsid w:val="003B5918"/>
    <w:rsid w:val="003C54D0"/>
    <w:rsid w:val="003E4385"/>
    <w:rsid w:val="00421FEA"/>
    <w:rsid w:val="00424D3D"/>
    <w:rsid w:val="00435428"/>
    <w:rsid w:val="00467D4F"/>
    <w:rsid w:val="004A1A66"/>
    <w:rsid w:val="004D6128"/>
    <w:rsid w:val="004E35EF"/>
    <w:rsid w:val="004E4224"/>
    <w:rsid w:val="00514660"/>
    <w:rsid w:val="005277FE"/>
    <w:rsid w:val="00537C84"/>
    <w:rsid w:val="00550291"/>
    <w:rsid w:val="00555A3F"/>
    <w:rsid w:val="00583850"/>
    <w:rsid w:val="00587FDF"/>
    <w:rsid w:val="005A2FF9"/>
    <w:rsid w:val="005B3B60"/>
    <w:rsid w:val="005B7298"/>
    <w:rsid w:val="005C277C"/>
    <w:rsid w:val="005C354C"/>
    <w:rsid w:val="005C74E2"/>
    <w:rsid w:val="005C7EE8"/>
    <w:rsid w:val="00610011"/>
    <w:rsid w:val="00621807"/>
    <w:rsid w:val="00630A8B"/>
    <w:rsid w:val="0064403B"/>
    <w:rsid w:val="00650B0A"/>
    <w:rsid w:val="00650E95"/>
    <w:rsid w:val="0065304E"/>
    <w:rsid w:val="00653FAB"/>
    <w:rsid w:val="006546D0"/>
    <w:rsid w:val="00664122"/>
    <w:rsid w:val="00666FA5"/>
    <w:rsid w:val="006679CE"/>
    <w:rsid w:val="00683049"/>
    <w:rsid w:val="006865AF"/>
    <w:rsid w:val="006B3441"/>
    <w:rsid w:val="006D4311"/>
    <w:rsid w:val="00706F39"/>
    <w:rsid w:val="00712B53"/>
    <w:rsid w:val="00714AC1"/>
    <w:rsid w:val="00717AD6"/>
    <w:rsid w:val="00724F3F"/>
    <w:rsid w:val="007328D0"/>
    <w:rsid w:val="007371F0"/>
    <w:rsid w:val="00750B5D"/>
    <w:rsid w:val="0076218F"/>
    <w:rsid w:val="00764F77"/>
    <w:rsid w:val="00771D13"/>
    <w:rsid w:val="007734CB"/>
    <w:rsid w:val="007767F4"/>
    <w:rsid w:val="00781C15"/>
    <w:rsid w:val="00782DC7"/>
    <w:rsid w:val="00787FBA"/>
    <w:rsid w:val="00794868"/>
    <w:rsid w:val="007B15DF"/>
    <w:rsid w:val="007C16C7"/>
    <w:rsid w:val="007E159B"/>
    <w:rsid w:val="00812723"/>
    <w:rsid w:val="00813964"/>
    <w:rsid w:val="0082531D"/>
    <w:rsid w:val="00832E38"/>
    <w:rsid w:val="00836AA3"/>
    <w:rsid w:val="0084019E"/>
    <w:rsid w:val="008501B1"/>
    <w:rsid w:val="00860068"/>
    <w:rsid w:val="00872F87"/>
    <w:rsid w:val="00885949"/>
    <w:rsid w:val="00892C58"/>
    <w:rsid w:val="008C4582"/>
    <w:rsid w:val="008C6B8A"/>
    <w:rsid w:val="008D1CE4"/>
    <w:rsid w:val="008D6AF9"/>
    <w:rsid w:val="008E24DA"/>
    <w:rsid w:val="008F669F"/>
    <w:rsid w:val="00901CA7"/>
    <w:rsid w:val="00906878"/>
    <w:rsid w:val="00907E68"/>
    <w:rsid w:val="00914E39"/>
    <w:rsid w:val="00920534"/>
    <w:rsid w:val="00923D84"/>
    <w:rsid w:val="0093433E"/>
    <w:rsid w:val="00956D8C"/>
    <w:rsid w:val="00964440"/>
    <w:rsid w:val="00980D46"/>
    <w:rsid w:val="009C392B"/>
    <w:rsid w:val="00A14159"/>
    <w:rsid w:val="00A15302"/>
    <w:rsid w:val="00A23477"/>
    <w:rsid w:val="00A37EC5"/>
    <w:rsid w:val="00A43D6F"/>
    <w:rsid w:val="00A671D6"/>
    <w:rsid w:val="00A74E2E"/>
    <w:rsid w:val="00A87380"/>
    <w:rsid w:val="00AC7447"/>
    <w:rsid w:val="00AD04BB"/>
    <w:rsid w:val="00AD1706"/>
    <w:rsid w:val="00B06E65"/>
    <w:rsid w:val="00B356B6"/>
    <w:rsid w:val="00B94AE3"/>
    <w:rsid w:val="00B95903"/>
    <w:rsid w:val="00B9781C"/>
    <w:rsid w:val="00BA3223"/>
    <w:rsid w:val="00BA52F9"/>
    <w:rsid w:val="00BA5D1D"/>
    <w:rsid w:val="00BA621A"/>
    <w:rsid w:val="00BC57BA"/>
    <w:rsid w:val="00BD4F38"/>
    <w:rsid w:val="00BD7FF6"/>
    <w:rsid w:val="00BF10A8"/>
    <w:rsid w:val="00BF2196"/>
    <w:rsid w:val="00C0662E"/>
    <w:rsid w:val="00C15377"/>
    <w:rsid w:val="00C1792D"/>
    <w:rsid w:val="00C20954"/>
    <w:rsid w:val="00C23924"/>
    <w:rsid w:val="00C52718"/>
    <w:rsid w:val="00C60498"/>
    <w:rsid w:val="00C64307"/>
    <w:rsid w:val="00C65AF1"/>
    <w:rsid w:val="00C6623B"/>
    <w:rsid w:val="00C92AD7"/>
    <w:rsid w:val="00CB33DF"/>
    <w:rsid w:val="00CC0FE9"/>
    <w:rsid w:val="00D22776"/>
    <w:rsid w:val="00D22A15"/>
    <w:rsid w:val="00D350C9"/>
    <w:rsid w:val="00D42200"/>
    <w:rsid w:val="00D51C4D"/>
    <w:rsid w:val="00DC3AAB"/>
    <w:rsid w:val="00DE52B9"/>
    <w:rsid w:val="00DF76E1"/>
    <w:rsid w:val="00E00C1C"/>
    <w:rsid w:val="00E3326F"/>
    <w:rsid w:val="00E72159"/>
    <w:rsid w:val="00E72F9A"/>
    <w:rsid w:val="00E93FC9"/>
    <w:rsid w:val="00E96915"/>
    <w:rsid w:val="00EA5EE0"/>
    <w:rsid w:val="00EA74D7"/>
    <w:rsid w:val="00EA7B42"/>
    <w:rsid w:val="00F20E6F"/>
    <w:rsid w:val="00F408F8"/>
    <w:rsid w:val="00F56309"/>
    <w:rsid w:val="00F61390"/>
    <w:rsid w:val="00F66A2F"/>
    <w:rsid w:val="00F66D45"/>
    <w:rsid w:val="00F726CC"/>
    <w:rsid w:val="00F72DDF"/>
    <w:rsid w:val="00F86BAB"/>
    <w:rsid w:val="00F96C4F"/>
    <w:rsid w:val="00F972D9"/>
    <w:rsid w:val="00FA1B5C"/>
    <w:rsid w:val="00FC3053"/>
    <w:rsid w:val="00FD4B92"/>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ommunity.canvaslms.com/docs/DOC-10701" TargetMode="External"/><Relationship Id="rId26" Type="http://schemas.openxmlformats.org/officeDocument/2006/relationships/hyperlink" Target="mailto:techhelp@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uws.instructure.com/enroll/FNRAL8" TargetMode="External"/><Relationship Id="rId34" Type="http://schemas.openxmlformats.org/officeDocument/2006/relationships/hyperlink" Target="http://libraryguides.uwsp.edu/copyright?hs=a" TargetMode="External"/><Relationship Id="rId42" Type="http://schemas.openxmlformats.org/officeDocument/2006/relationships/hyperlink" Target="https://www.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uwsp.edu/hr/Pages/Affirmative%20Action/Title-IX.aspx"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uwsp.edu/infotech/Pages/ServiceDesk/default.aspx" TargetMode="External"/><Relationship Id="rId33" Type="http://schemas.openxmlformats.org/officeDocument/2006/relationships/hyperlink" Target="https://www.uwsp.edu/dos/clery/Pages/default.aspx" TargetMode="External"/><Relationship Id="rId38" Type="http://schemas.openxmlformats.org/officeDocument/2006/relationships/hyperlink" Target="http://www.uwsp.edu/rmgt/Pages/em/procedures/other/floor-plans.aspx" TargetMode="External"/><Relationship Id="rId46" Type="http://schemas.openxmlformats.org/officeDocument/2006/relationships/hyperlink" Target="http://www.albion.com/netiquette/boo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uwsp.edu/veteran-services/Pages/Call-Up-Guidelines.aspx" TargetMode="External"/><Relationship Id="rId41" Type="http://schemas.openxmlformats.org/officeDocument/2006/relationships/hyperlink" Target="https://www.uwsp.edu/regrec/Pages/ferpa.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wright@uwsp.edu" TargetMode="External"/><Relationship Id="rId24" Type="http://schemas.openxmlformats.org/officeDocument/2006/relationships/hyperlink" Target="https://www.uwsp.edu/tlc/Pages/techTutoring.aspx" TargetMode="External"/><Relationship Id="rId32" Type="http://schemas.openxmlformats.org/officeDocument/2006/relationships/hyperlink" Target="https://www.uwsp.edu/dos/clery/Pages/default.aspx" TargetMode="External"/><Relationship Id="rId37" Type="http://schemas.openxmlformats.org/officeDocument/2006/relationships/hyperlink" Target="https://www.uwsp.edu/dos/aoda-ipv/Pages/dfsca.aspx" TargetMode="External"/><Relationship Id="rId40" Type="http://schemas.openxmlformats.org/officeDocument/2006/relationships/hyperlink" Target="https://www.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wisconsin.edu/dle/external-application-integration-requests/" TargetMode="External"/><Relationship Id="rId28" Type="http://schemas.openxmlformats.org/officeDocument/2006/relationships/hyperlink" Target="https://www.uwsp.edu/veteran-services/Pages/short-term-leave.aspx" TargetMode="External"/><Relationship Id="rId36" Type="http://schemas.openxmlformats.org/officeDocument/2006/relationships/hyperlink" Target="https://www.uwsp.edu/dos/aoda-ipv/Pages/dfsca.aspx" TargetMode="External"/><Relationship Id="rId49"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community.canvaslms.com/docs/DOC-3891" TargetMode="External"/><Relationship Id="rId31" Type="http://schemas.openxmlformats.org/officeDocument/2006/relationships/hyperlink" Target="https://www.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community.canvaslms.com/docs/DOC-10721" TargetMode="External"/><Relationship Id="rId27" Type="http://schemas.openxmlformats.org/officeDocument/2006/relationships/hyperlink" Target="https://www.uwsp.edu/veteran-services/Pages/short-term-leave.aspx" TargetMode="External"/><Relationship Id="rId30" Type="http://schemas.openxmlformats.org/officeDocument/2006/relationships/hyperlink" Target="https://www.uwsp.edu/dos/clery/Documents/ASR-ASFR.pdf" TargetMode="External"/><Relationship Id="rId35" Type="http://schemas.openxmlformats.org/officeDocument/2006/relationships/hyperlink" Target="https://www.uwsp.edu/regrec/Pages/calendars.aspx" TargetMode="External"/><Relationship Id="rId43" Type="http://schemas.openxmlformats.org/officeDocument/2006/relationships/hyperlink" Target="https://www.uwsp.edu/dos/Pages/Bias-Hate-Incident.aspx" TargetMode="External"/><Relationship Id="rId48" Type="http://schemas.openxmlformats.org/officeDocument/2006/relationships/hyperlink" Target="https://www.uwsp.edu/DOS/sexualassault" TargetMode="External"/><Relationship Id="rId8" Type="http://schemas.openxmlformats.org/officeDocument/2006/relationships/webSettings" Target="webSettings.xml"/><Relationship Id="rId51" Type="http://schemas.openxmlformats.org/officeDocument/2006/relationships/hyperlink" Target="https://www.uwsp.edu/hr/Pages/Affirmative%20Action/Title-IX.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250</Number>
    <Section xmlns="409cf07c-705a-4568-bc2e-e1a7cd36a2d3">02</Section>
    <Calendar_x0020_Year xmlns="409cf07c-705a-4568-bc2e-e1a7cd36a2d3">2023</Calendar_x0020_Year>
    <Course_x0020_Name xmlns="409cf07c-705a-4568-bc2e-e1a7cd36a2d3">Health and Physical Education Concepts for Elementary Teachers</Course_x0020_Name>
    <Instructor xmlns="409cf07c-705a-4568-bc2e-e1a7cd36a2d3">Tim Wright</Instructor>
    <Pre xmlns="409cf07c-705a-4568-bc2e-e1a7cd36a2d3">73</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8297C-0BF1-4976-A463-E4AC4F7F9C96}"/>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3863</Words>
  <Characters>22021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Dax, Chelsea [Education]</cp:lastModifiedBy>
  <cp:revision>2</cp:revision>
  <dcterms:created xsi:type="dcterms:W3CDTF">2023-02-02T15:38:00Z</dcterms:created>
  <dcterms:modified xsi:type="dcterms:W3CDTF">2023-02-02T15:38:00Z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